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5B1438">
      <w:pPr>
        <w:rPr>
          <w:rFonts w:hint="eastAsia" w:ascii="黑体" w:hAnsi="黑体" w:eastAsia="黑体"/>
          <w:sz w:val="32"/>
          <w:szCs w:val="32"/>
        </w:rPr>
      </w:pPr>
    </w:p>
    <w:p w14:paraId="40234FC2">
      <w:pPr>
        <w:jc w:val="center"/>
        <w:rPr>
          <w:rFonts w:hint="eastAsia" w:ascii="方正小标宋_GBK" w:hAnsi="宋体" w:eastAsia="方正小标宋_GBK"/>
          <w:sz w:val="44"/>
          <w:szCs w:val="44"/>
        </w:rPr>
      </w:pPr>
    </w:p>
    <w:p w14:paraId="25B78DC9">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木垒哈萨克自治县白杨河乡中心学校</w:t>
      </w:r>
    </w:p>
    <w:p w14:paraId="0DC7165D">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29B1A60F">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1F3C50BD">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67F21A7B">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4DEEC6E3">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5C50C30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1562E0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023141A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36B14FF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B562AA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43AE0FD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07A1C10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63763BC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49DFF0C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F25A21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51C8405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0A5950B4">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1F79CFF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1F2C615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049F374D">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B193FA4">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42AB590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42837BD2">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4932010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E5F40CB">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474562E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4BEFB90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469AAA4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3682F9A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59B0345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57D3C73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728D6C6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3683AD51">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749CBB70">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3BCFAEAD">
      <w:r>
        <w:rPr>
          <w:rFonts w:hint="eastAsia" w:ascii="仿宋_GB2312" w:hAnsi="仿宋_GB2312" w:eastAsia="仿宋_GB2312" w:cs="仿宋_GB2312"/>
          <w:sz w:val="32"/>
          <w:szCs w:val="32"/>
        </w:rPr>
        <w:fldChar w:fldCharType="end"/>
      </w:r>
    </w:p>
    <w:p w14:paraId="296CE769">
      <w:pPr>
        <w:rPr>
          <w:rFonts w:ascii="仿宋_GB2312" w:eastAsia="仿宋_GB2312"/>
          <w:sz w:val="32"/>
          <w:szCs w:val="32"/>
        </w:rPr>
      </w:pPr>
      <w:r>
        <w:rPr>
          <w:rFonts w:hint="eastAsia" w:ascii="仿宋_GB2312" w:eastAsia="仿宋_GB2312"/>
          <w:sz w:val="32"/>
          <w:szCs w:val="32"/>
        </w:rPr>
        <w:br w:type="page"/>
      </w:r>
    </w:p>
    <w:p w14:paraId="51F66256">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74276A1C">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271EB174">
      <w:pPr>
        <w:ind w:firstLine="640" w:firstLineChars="200"/>
        <w:rPr>
          <w:rFonts w:ascii="仿宋_GB2312" w:eastAsia="仿宋_GB2312"/>
          <w:sz w:val="32"/>
          <w:szCs w:val="32"/>
        </w:rPr>
      </w:pPr>
      <w:bookmarkStart w:id="4" w:name="_Toc31238"/>
      <w:bookmarkStart w:id="5" w:name="_Toc2151"/>
      <w:r>
        <w:rPr>
          <w:rFonts w:hint="eastAsia" w:ascii="仿宋_GB2312" w:eastAsia="仿宋_GB2312"/>
          <w:sz w:val="32"/>
          <w:szCs w:val="32"/>
        </w:rPr>
        <w:t>(1)、学前教育</w:t>
      </w:r>
    </w:p>
    <w:p w14:paraId="5F8A7D97">
      <w:pPr>
        <w:ind w:firstLine="640" w:firstLineChars="200"/>
        <w:rPr>
          <w:rFonts w:ascii="仿宋_GB2312" w:eastAsia="仿宋_GB2312"/>
          <w:sz w:val="32"/>
          <w:szCs w:val="32"/>
        </w:rPr>
      </w:pPr>
      <w:r>
        <w:rPr>
          <w:rFonts w:hint="eastAsia" w:ascii="仿宋_GB2312" w:eastAsia="仿宋_GB2312"/>
          <w:sz w:val="32"/>
          <w:szCs w:val="32"/>
        </w:rPr>
        <w:t>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p>
    <w:p w14:paraId="5F00EA83">
      <w:pPr>
        <w:ind w:firstLine="640" w:firstLineChars="200"/>
        <w:rPr>
          <w:rFonts w:ascii="仿宋_GB2312" w:eastAsia="仿宋_GB2312"/>
          <w:sz w:val="32"/>
          <w:szCs w:val="32"/>
        </w:rPr>
      </w:pPr>
      <w:r>
        <w:rPr>
          <w:rFonts w:hint="eastAsia" w:ascii="仿宋_GB2312" w:eastAsia="仿宋_GB2312"/>
          <w:sz w:val="32"/>
          <w:szCs w:val="32"/>
        </w:rPr>
        <w:t>(2)、小学教育</w:t>
      </w:r>
    </w:p>
    <w:p w14:paraId="41318991">
      <w:pPr>
        <w:ind w:firstLine="640" w:firstLineChars="200"/>
        <w:rPr>
          <w:rFonts w:ascii="仿宋_GB2312" w:eastAsia="仿宋_GB2312"/>
          <w:sz w:val="32"/>
          <w:szCs w:val="32"/>
        </w:rPr>
      </w:pPr>
      <w:r>
        <w:rPr>
          <w:rFonts w:hint="eastAsia" w:ascii="仿宋_GB2312" w:eastAsia="仿宋_GB2312"/>
          <w:sz w:val="32"/>
          <w:szCs w:val="32"/>
        </w:rP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w:t>
      </w:r>
    </w:p>
    <w:p w14:paraId="247761AF">
      <w:pPr>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12EB4088">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木垒哈萨克自治县白杨河乡中心学校2023年度，实有人数</w:t>
      </w:r>
      <w:r>
        <w:rPr>
          <w:rFonts w:hint="eastAsia" w:ascii="仿宋_GB2312" w:eastAsia="仿宋_GB2312"/>
          <w:sz w:val="32"/>
          <w:szCs w:val="32"/>
          <w:lang w:val="zh-CN"/>
        </w:rPr>
        <w:t>70</w:t>
      </w:r>
      <w:r>
        <w:rPr>
          <w:rFonts w:hint="eastAsia" w:ascii="仿宋_GB2312" w:eastAsia="仿宋_GB2312"/>
          <w:sz w:val="32"/>
          <w:szCs w:val="32"/>
        </w:rPr>
        <w:t>人，其中：在职人员</w:t>
      </w:r>
      <w:r>
        <w:rPr>
          <w:rFonts w:hint="eastAsia" w:ascii="仿宋_GB2312" w:eastAsia="仿宋_GB2312"/>
          <w:sz w:val="32"/>
          <w:szCs w:val="32"/>
          <w:lang w:val="zh-CN"/>
        </w:rPr>
        <w:t>45</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25</w:t>
      </w:r>
      <w:r>
        <w:rPr>
          <w:rFonts w:hint="eastAsia" w:ascii="仿宋_GB2312" w:eastAsia="仿宋_GB2312"/>
          <w:sz w:val="32"/>
          <w:szCs w:val="32"/>
        </w:rPr>
        <w:t>人。</w:t>
      </w:r>
    </w:p>
    <w:p w14:paraId="23165F6A">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单位无下属预算单位，下设4个科室，分别是：教务室、德育室、总务室、财务室</w:t>
      </w:r>
      <w:r>
        <w:rPr>
          <w:rFonts w:hint="eastAsia" w:ascii="仿宋_GB2312" w:hAnsi="宋体" w:eastAsia="仿宋_GB2312" w:cs="宋体"/>
          <w:kern w:val="0"/>
          <w:sz w:val="32"/>
          <w:szCs w:val="32"/>
        </w:rPr>
        <w:t>。</w:t>
      </w:r>
    </w:p>
    <w:p w14:paraId="29BB4148">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0FC432B0">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74D94102">
      <w:pPr>
        <w:ind w:firstLine="640" w:firstLineChars="200"/>
        <w:jc w:val="left"/>
        <w:rPr>
          <w:rFonts w:ascii="仿宋_GB2312" w:eastAsia="仿宋_GB2312"/>
          <w:sz w:val="32"/>
          <w:szCs w:val="32"/>
        </w:rPr>
      </w:pPr>
      <w:r>
        <w:rPr>
          <w:rFonts w:hint="eastAsia" w:ascii="仿宋_GB2312" w:eastAsia="仿宋_GB2312"/>
          <w:sz w:val="32"/>
          <w:szCs w:val="32"/>
        </w:rPr>
        <w:t>2023年度收入总计964.76万元，其中：本年收入合计964.76万元，使用非财政拨款结余0.00万元，年初结转和结余0.00万元。</w:t>
      </w:r>
    </w:p>
    <w:p w14:paraId="4D9FD6F9">
      <w:pPr>
        <w:ind w:firstLine="640" w:firstLineChars="200"/>
        <w:jc w:val="left"/>
        <w:rPr>
          <w:rFonts w:ascii="仿宋_GB2312" w:eastAsia="仿宋_GB2312"/>
          <w:sz w:val="32"/>
          <w:szCs w:val="32"/>
        </w:rPr>
      </w:pPr>
      <w:r>
        <w:rPr>
          <w:rFonts w:hint="eastAsia" w:ascii="仿宋_GB2312" w:eastAsia="仿宋_GB2312"/>
          <w:sz w:val="32"/>
          <w:szCs w:val="32"/>
        </w:rPr>
        <w:t>2023年度支出总计964.76万元，其中：本年支出合计964.76万元，结余分配0.00万元，年末结转和结余0.00万元。</w:t>
      </w:r>
    </w:p>
    <w:p w14:paraId="0806E201">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增加45.62万元</w:t>
      </w:r>
      <w:r>
        <w:rPr>
          <w:rFonts w:hint="eastAsia" w:ascii="仿宋_GB2312" w:eastAsia="仿宋_GB2312"/>
          <w:sz w:val="32"/>
          <w:szCs w:val="32"/>
        </w:rPr>
        <w:t>，增长4.96%，主要原因是：单位本年在职人员的工资、社保、住房公积金基数增加。</w:t>
      </w:r>
    </w:p>
    <w:p w14:paraId="0B190826">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5A5A4DBB">
      <w:pPr>
        <w:ind w:firstLine="640" w:firstLineChars="200"/>
        <w:jc w:val="left"/>
        <w:rPr>
          <w:rFonts w:ascii="仿宋_GB2312" w:eastAsia="仿宋_GB2312"/>
          <w:sz w:val="32"/>
          <w:szCs w:val="32"/>
        </w:rPr>
      </w:pPr>
      <w:r>
        <w:rPr>
          <w:rFonts w:hint="eastAsia" w:ascii="仿宋_GB2312" w:eastAsia="仿宋_GB2312"/>
          <w:sz w:val="32"/>
          <w:szCs w:val="32"/>
        </w:rPr>
        <w:t>本年收入964.76万元，其中：财政拨款收入</w:t>
      </w:r>
      <w:r>
        <w:rPr>
          <w:rFonts w:hint="eastAsia" w:ascii="仿宋_GB2312" w:eastAsia="仿宋_GB2312"/>
          <w:sz w:val="32"/>
          <w:szCs w:val="32"/>
          <w:lang w:val="zh-CN"/>
        </w:rPr>
        <w:t>964.76</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5564D40D">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1827DDC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本年支出964.76万元，其中：基本支出910.76万元，占94.40%；项目支出54.00万元，占5.60%；上缴上级支出0.00万元，占0.00%；经营支出0.00万元，占0.00%；对附属单位补助支出0.00万元，占0.00%。</w:t>
      </w:r>
    </w:p>
    <w:p w14:paraId="4C72DF39">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6DEA6AB1">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964.76</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964.76</w:t>
      </w:r>
      <w:r>
        <w:rPr>
          <w:rFonts w:hint="eastAsia" w:ascii="仿宋_GB2312" w:eastAsia="仿宋_GB2312"/>
          <w:sz w:val="32"/>
          <w:szCs w:val="32"/>
        </w:rPr>
        <w:t>万元。财政拨款支出总计</w:t>
      </w:r>
      <w:r>
        <w:rPr>
          <w:rFonts w:hint="eastAsia" w:ascii="仿宋_GB2312" w:eastAsia="仿宋_GB2312"/>
          <w:sz w:val="32"/>
          <w:szCs w:val="32"/>
          <w:lang w:val="zh-CN"/>
        </w:rPr>
        <w:t>964.76</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964.76</w:t>
      </w:r>
      <w:r>
        <w:rPr>
          <w:rFonts w:hint="eastAsia" w:ascii="仿宋_GB2312" w:eastAsia="仿宋_GB2312"/>
          <w:sz w:val="32"/>
          <w:szCs w:val="32"/>
        </w:rPr>
        <w:t>万元。</w:t>
      </w:r>
    </w:p>
    <w:p w14:paraId="550BF219">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增加45.62万元</w:t>
      </w:r>
      <w:r>
        <w:rPr>
          <w:rFonts w:hint="eastAsia" w:ascii="仿宋_GB2312" w:eastAsia="仿宋_GB2312"/>
          <w:sz w:val="32"/>
          <w:szCs w:val="32"/>
        </w:rPr>
        <w:t>，增长4.96%,主要原因是：单位本年城乡义务教育补助经费增加。与年初预算相比，年初预算数</w:t>
      </w:r>
      <w:r>
        <w:rPr>
          <w:rFonts w:hint="eastAsia" w:ascii="仿宋_GB2312" w:eastAsia="仿宋_GB2312"/>
          <w:sz w:val="32"/>
          <w:szCs w:val="32"/>
          <w:lang w:val="zh-CN"/>
        </w:rPr>
        <w:t>898.03</w:t>
      </w:r>
      <w:r>
        <w:rPr>
          <w:rFonts w:hint="eastAsia" w:ascii="仿宋_GB2312" w:eastAsia="仿宋_GB2312"/>
          <w:sz w:val="32"/>
          <w:szCs w:val="32"/>
        </w:rPr>
        <w:t>万元，决算数</w:t>
      </w:r>
      <w:r>
        <w:rPr>
          <w:rFonts w:hint="eastAsia" w:ascii="仿宋_GB2312" w:eastAsia="仿宋_GB2312"/>
          <w:sz w:val="32"/>
          <w:szCs w:val="32"/>
          <w:lang w:val="zh-CN"/>
        </w:rPr>
        <w:t>964.76</w:t>
      </w:r>
      <w:r>
        <w:rPr>
          <w:rFonts w:hint="eastAsia" w:ascii="仿宋_GB2312" w:eastAsia="仿宋_GB2312"/>
          <w:sz w:val="32"/>
          <w:szCs w:val="32"/>
        </w:rPr>
        <w:t>万元，预决算差异率7.43%，主要原因是：年中追加城乡义务教育补助项目经费。</w:t>
      </w:r>
    </w:p>
    <w:p w14:paraId="46539534">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0F8FC9DB">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1A3F817F">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2023年度一般公共预算财政拨款支出964.76万元，占本年支出合计的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增加45.6</w:t>
      </w:r>
      <w:r>
        <w:rPr>
          <w:rFonts w:hint="eastAsia" w:ascii="仿宋_GB2312" w:eastAsia="仿宋_GB2312"/>
          <w:sz w:val="32"/>
          <w:szCs w:val="32"/>
          <w:lang w:val="en-US" w:eastAsia="zh-CN"/>
        </w:rPr>
        <w:t>2</w:t>
      </w:r>
      <w:r>
        <w:rPr>
          <w:rFonts w:hint="eastAsia" w:ascii="仿宋_GB2312" w:eastAsia="仿宋_GB2312"/>
          <w:sz w:val="32"/>
          <w:szCs w:val="32"/>
          <w:lang w:val="zh-CN"/>
        </w:rPr>
        <w:t>万元</w:t>
      </w:r>
      <w:r>
        <w:rPr>
          <w:rFonts w:hint="eastAsia" w:ascii="仿宋_GB2312" w:eastAsia="仿宋_GB2312"/>
          <w:sz w:val="32"/>
          <w:szCs w:val="32"/>
        </w:rPr>
        <w:t>，增长4.96%,主要原因是：单位本年城乡义务教育补助经费增加。与年初预算相比，年初预算数</w:t>
      </w:r>
      <w:r>
        <w:rPr>
          <w:rFonts w:hint="eastAsia" w:ascii="仿宋_GB2312" w:eastAsia="仿宋_GB2312"/>
          <w:sz w:val="32"/>
          <w:szCs w:val="32"/>
          <w:lang w:val="zh-CN"/>
        </w:rPr>
        <w:t>898.03</w:t>
      </w:r>
      <w:r>
        <w:rPr>
          <w:rFonts w:hint="eastAsia" w:ascii="仿宋_GB2312" w:eastAsia="仿宋_GB2312"/>
          <w:sz w:val="32"/>
          <w:szCs w:val="32"/>
        </w:rPr>
        <w:t>万元，决算数</w:t>
      </w:r>
      <w:r>
        <w:rPr>
          <w:rFonts w:hint="eastAsia" w:ascii="仿宋_GB2312" w:eastAsia="仿宋_GB2312"/>
          <w:sz w:val="32"/>
          <w:szCs w:val="32"/>
          <w:lang w:val="zh-CN"/>
        </w:rPr>
        <w:t>964.76</w:t>
      </w:r>
      <w:r>
        <w:rPr>
          <w:rFonts w:hint="eastAsia" w:ascii="仿宋_GB2312" w:eastAsia="仿宋_GB2312"/>
          <w:sz w:val="32"/>
          <w:szCs w:val="32"/>
        </w:rPr>
        <w:t>万元，预决算差异率</w:t>
      </w:r>
      <w:r>
        <w:rPr>
          <w:rFonts w:hint="eastAsia" w:ascii="仿宋_GB2312" w:eastAsia="仿宋_GB2312"/>
          <w:sz w:val="32"/>
          <w:szCs w:val="32"/>
          <w:lang w:val="zh-CN"/>
        </w:rPr>
        <w:t>7.43%</w:t>
      </w:r>
      <w:r>
        <w:rPr>
          <w:rFonts w:hint="eastAsia" w:ascii="仿宋_GB2312" w:eastAsia="仿宋_GB2312"/>
          <w:sz w:val="32"/>
          <w:szCs w:val="32"/>
        </w:rPr>
        <w:t>，主要原因是：年中追加城乡义务教育补助项目经费。</w:t>
      </w:r>
    </w:p>
    <w:p w14:paraId="11579BB0">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68FC6B67">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1</w:t>
      </w:r>
      <w:r>
        <w:rPr>
          <w:rFonts w:ascii="仿宋_GB2312" w:eastAsia="仿宋_GB2312"/>
          <w:kern w:val="2"/>
          <w:sz w:val="32"/>
          <w:szCs w:val="32"/>
          <w:lang w:val="zh-CN"/>
        </w:rPr>
        <w:t>.教育支出（类）</w:t>
      </w:r>
      <w:r>
        <w:rPr>
          <w:rFonts w:hint="eastAsia" w:ascii="仿宋_GB2312" w:eastAsia="仿宋_GB2312"/>
          <w:kern w:val="2"/>
          <w:sz w:val="32"/>
          <w:szCs w:val="32"/>
          <w:lang w:val="zh-CN"/>
        </w:rPr>
        <w:t>934.47</w:t>
      </w:r>
      <w:r>
        <w:rPr>
          <w:rFonts w:ascii="仿宋_GB2312" w:eastAsia="仿宋_GB2312"/>
          <w:kern w:val="2"/>
          <w:sz w:val="32"/>
          <w:szCs w:val="32"/>
          <w:lang w:val="zh-CN"/>
        </w:rPr>
        <w:t>万元，占</w:t>
      </w:r>
      <w:r>
        <w:rPr>
          <w:rFonts w:hint="eastAsia" w:ascii="仿宋_GB2312" w:eastAsia="仿宋_GB2312"/>
          <w:kern w:val="2"/>
          <w:sz w:val="32"/>
          <w:szCs w:val="32"/>
          <w:lang w:val="zh-CN"/>
        </w:rPr>
        <w:t>96.86</w:t>
      </w:r>
      <w:r>
        <w:rPr>
          <w:rFonts w:ascii="仿宋_GB2312" w:eastAsia="仿宋_GB2312"/>
          <w:kern w:val="2"/>
          <w:sz w:val="32"/>
          <w:szCs w:val="32"/>
          <w:lang w:val="zh-CN"/>
        </w:rPr>
        <w:t>%；</w:t>
      </w:r>
    </w:p>
    <w:p w14:paraId="36B13EA9">
      <w:pPr>
        <w:pStyle w:val="8"/>
        <w:widowControl/>
        <w:spacing w:before="0" w:beforeAutospacing="0" w:after="0" w:afterAutospacing="0"/>
        <w:ind w:firstLine="640" w:firstLineChars="200"/>
        <w:rPr>
          <w:rFonts w:ascii="仿宋_GB2312" w:eastAsia="仿宋_GB2312"/>
          <w:kern w:val="2"/>
          <w:sz w:val="32"/>
          <w:szCs w:val="32"/>
        </w:rPr>
      </w:pPr>
      <w:r>
        <w:rPr>
          <w:rFonts w:hint="eastAsia" w:ascii="仿宋_GB2312" w:eastAsia="仿宋_GB2312"/>
          <w:kern w:val="2"/>
          <w:sz w:val="32"/>
          <w:szCs w:val="32"/>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30.30</w:t>
      </w:r>
      <w:r>
        <w:rPr>
          <w:rFonts w:ascii="仿宋_GB2312" w:eastAsia="仿宋_GB2312"/>
          <w:kern w:val="2"/>
          <w:sz w:val="32"/>
          <w:szCs w:val="32"/>
          <w:lang w:val="zh-CN"/>
        </w:rPr>
        <w:t>万元，占</w:t>
      </w:r>
      <w:r>
        <w:rPr>
          <w:rFonts w:hint="eastAsia" w:ascii="仿宋_GB2312" w:eastAsia="仿宋_GB2312"/>
          <w:kern w:val="2"/>
          <w:sz w:val="32"/>
          <w:szCs w:val="32"/>
          <w:lang w:val="zh-CN"/>
        </w:rPr>
        <w:t>3.14</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48BDB6FB">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31219001">
      <w:pPr>
        <w:ind w:firstLine="640" w:firstLineChars="200"/>
        <w:rPr>
          <w:rFonts w:ascii="仿宋_GB2312" w:eastAsia="仿宋_GB2312"/>
          <w:sz w:val="32"/>
          <w:szCs w:val="32"/>
          <w:lang w:val="zh-CN"/>
        </w:rPr>
      </w:pPr>
      <w:r>
        <w:rPr>
          <w:rFonts w:hint="eastAsia" w:eastAsia="仿宋_GB2312"/>
          <w:sz w:val="32"/>
          <w:szCs w:val="32"/>
        </w:rPr>
        <w:t>1</w:t>
      </w:r>
      <w:r>
        <w:rPr>
          <w:rFonts w:hint="eastAsia" w:ascii="仿宋_GB2312" w:eastAsia="仿宋_GB2312"/>
          <w:sz w:val="32"/>
          <w:szCs w:val="32"/>
        </w:rPr>
        <w:t>.教育支出（类）教育费附加安排的支出（款）其他教育费附加安排的支出（项）:支出决算数为2.85万元，比上年决算增加2.85万元，增长100%，主要原因是：单位本年新增</w:t>
      </w:r>
      <w:r>
        <w:rPr>
          <w:rFonts w:hint="eastAsia" w:ascii="仿宋_GB2312" w:eastAsia="仿宋_GB2312"/>
          <w:sz w:val="32"/>
          <w:szCs w:val="32"/>
          <w:lang w:val="zh-CN"/>
        </w:rPr>
        <w:t>课后服务经费。</w:t>
      </w:r>
    </w:p>
    <w:p w14:paraId="6F9E4184">
      <w:pPr>
        <w:ind w:firstLine="640" w:firstLineChars="200"/>
        <w:rPr>
          <w:rFonts w:ascii="仿宋_GB2312" w:eastAsia="仿宋_GB2312"/>
          <w:sz w:val="32"/>
          <w:szCs w:val="32"/>
          <w:lang w:val="zh-CN"/>
        </w:rPr>
      </w:pPr>
      <w:r>
        <w:rPr>
          <w:rFonts w:hint="eastAsia" w:ascii="仿宋_GB2312" w:eastAsia="仿宋_GB2312"/>
          <w:sz w:val="32"/>
          <w:szCs w:val="32"/>
        </w:rPr>
        <w:t>2.社会保障和就业支出（类）抚恤（款）死亡抚恤（项）:支出决算数为12.60万元，比上年决算增加11.08万元，增长72</w:t>
      </w:r>
      <w:r>
        <w:rPr>
          <w:rFonts w:hint="eastAsia" w:ascii="仿宋_GB2312" w:eastAsia="仿宋_GB2312"/>
          <w:sz w:val="32"/>
          <w:szCs w:val="32"/>
          <w:lang w:val="en-US" w:eastAsia="zh-CN"/>
        </w:rPr>
        <w:t>8</w:t>
      </w:r>
      <w:r>
        <w:rPr>
          <w:rFonts w:hint="eastAsia" w:ascii="仿宋_GB2312" w:eastAsia="仿宋_GB2312"/>
          <w:sz w:val="32"/>
          <w:szCs w:val="32"/>
        </w:rPr>
        <w:t>.</w:t>
      </w:r>
      <w:r>
        <w:rPr>
          <w:rFonts w:hint="eastAsia" w:ascii="仿宋_GB2312" w:eastAsia="仿宋_GB2312"/>
          <w:sz w:val="32"/>
          <w:szCs w:val="32"/>
          <w:lang w:val="en-US" w:eastAsia="zh-CN"/>
        </w:rPr>
        <w:t>9</w:t>
      </w:r>
      <w:r>
        <w:rPr>
          <w:rFonts w:hint="eastAsia" w:ascii="仿宋_GB2312" w:eastAsia="仿宋_GB2312"/>
          <w:sz w:val="32"/>
          <w:szCs w:val="32"/>
        </w:rPr>
        <w:t>5%，主要原因是：单位本年退休死亡1人，死亡抚恤金增加</w:t>
      </w:r>
      <w:r>
        <w:rPr>
          <w:rFonts w:hint="eastAsia" w:ascii="仿宋_GB2312" w:eastAsia="仿宋_GB2312"/>
          <w:sz w:val="32"/>
          <w:szCs w:val="32"/>
          <w:lang w:val="zh-CN"/>
        </w:rPr>
        <w:t>。</w:t>
      </w:r>
    </w:p>
    <w:p w14:paraId="254445EA">
      <w:pPr>
        <w:ind w:firstLine="640" w:firstLineChars="200"/>
        <w:rPr>
          <w:rFonts w:ascii="仿宋_GB2312" w:eastAsia="仿宋_GB2312"/>
          <w:sz w:val="32"/>
          <w:szCs w:val="32"/>
          <w:lang w:val="zh-CN"/>
        </w:rPr>
      </w:pPr>
      <w:r>
        <w:rPr>
          <w:rFonts w:hint="eastAsia" w:ascii="仿宋_GB2312" w:eastAsia="仿宋_GB2312"/>
          <w:sz w:val="32"/>
          <w:szCs w:val="32"/>
        </w:rPr>
        <w:t>3.教育支出（类）普通教育（款）小学教育（项）:支出决算数为813.17万元，比上年决算减少8.92万元，下降1.09%，主要原因是：单位本年小学教师人员减少，相应人员工资、津贴补贴、奖金减少</w:t>
      </w:r>
      <w:r>
        <w:rPr>
          <w:rFonts w:hint="eastAsia" w:ascii="仿宋_GB2312" w:eastAsia="仿宋_GB2312"/>
          <w:sz w:val="32"/>
          <w:szCs w:val="32"/>
          <w:lang w:val="zh-CN"/>
        </w:rPr>
        <w:t>。</w:t>
      </w:r>
    </w:p>
    <w:p w14:paraId="473AD748">
      <w:pPr>
        <w:ind w:firstLine="640" w:firstLineChars="200"/>
        <w:rPr>
          <w:rFonts w:ascii="仿宋_GB2312" w:eastAsia="仿宋_GB2312"/>
          <w:sz w:val="32"/>
          <w:szCs w:val="32"/>
          <w:lang w:val="zh-CN"/>
        </w:rPr>
      </w:pPr>
      <w:r>
        <w:rPr>
          <w:rFonts w:hint="eastAsia" w:ascii="仿宋_GB2312" w:eastAsia="仿宋_GB2312"/>
          <w:sz w:val="32"/>
          <w:szCs w:val="32"/>
        </w:rPr>
        <w:t>4.社会保障和就业支出（类）行政事业单位养老支出（款）事业单位离退休（项）:支出决算数为7.79万元，比上年决算增加4.85万元，增长16</w:t>
      </w:r>
      <w:r>
        <w:rPr>
          <w:rFonts w:hint="eastAsia" w:ascii="仿宋_GB2312" w:eastAsia="仿宋_GB2312"/>
          <w:sz w:val="32"/>
          <w:szCs w:val="32"/>
          <w:lang w:val="en-US" w:eastAsia="zh-CN"/>
        </w:rPr>
        <w:t>4</w:t>
      </w:r>
      <w:r>
        <w:rPr>
          <w:rFonts w:hint="eastAsia" w:ascii="仿宋_GB2312" w:eastAsia="仿宋_GB2312"/>
          <w:sz w:val="32"/>
          <w:szCs w:val="32"/>
        </w:rPr>
        <w:t>.</w:t>
      </w:r>
      <w:r>
        <w:rPr>
          <w:rFonts w:hint="eastAsia" w:ascii="仿宋_GB2312" w:eastAsia="仿宋_GB2312"/>
          <w:sz w:val="32"/>
          <w:szCs w:val="32"/>
          <w:lang w:val="en-US" w:eastAsia="zh-CN"/>
        </w:rPr>
        <w:t>97</w:t>
      </w:r>
      <w:r>
        <w:rPr>
          <w:rFonts w:hint="eastAsia" w:ascii="仿宋_GB2312" w:eastAsia="仿宋_GB2312"/>
          <w:sz w:val="32"/>
          <w:szCs w:val="32"/>
        </w:rPr>
        <w:t>%，主要原因是：单位本年退休人员基础绩效奖增加</w:t>
      </w:r>
      <w:r>
        <w:rPr>
          <w:rFonts w:hint="eastAsia" w:ascii="仿宋_GB2312" w:eastAsia="仿宋_GB2312"/>
          <w:sz w:val="32"/>
          <w:szCs w:val="32"/>
          <w:lang w:val="zh-CN"/>
        </w:rPr>
        <w:t>。</w:t>
      </w:r>
    </w:p>
    <w:p w14:paraId="3761C49E">
      <w:pPr>
        <w:ind w:firstLine="640" w:firstLineChars="200"/>
        <w:rPr>
          <w:rFonts w:ascii="仿宋_GB2312" w:eastAsia="仿宋_GB2312"/>
          <w:sz w:val="32"/>
          <w:szCs w:val="32"/>
          <w:lang w:val="zh-CN"/>
        </w:rPr>
      </w:pPr>
      <w:r>
        <w:rPr>
          <w:rFonts w:hint="eastAsia" w:ascii="仿宋_GB2312" w:eastAsia="仿宋_GB2312"/>
          <w:sz w:val="32"/>
          <w:szCs w:val="32"/>
        </w:rPr>
        <w:t>5.教育支出（类）普通教育（款）学前教育（项）:支出决算数为118.45万元，比上年决算增加36.12万元，增长43.87%，主要原因是：</w:t>
      </w:r>
      <w:r>
        <w:rPr>
          <w:rFonts w:hint="eastAsia" w:ascii="仿宋_GB2312" w:eastAsia="仿宋_GB2312"/>
          <w:sz w:val="32"/>
          <w:szCs w:val="32"/>
          <w:lang w:val="zh-CN"/>
        </w:rPr>
        <w:t>单位本年幼儿园教师工资调增、社保、住房公积金基数增加。</w:t>
      </w:r>
    </w:p>
    <w:p w14:paraId="3CC0A49C">
      <w:pPr>
        <w:ind w:firstLine="640" w:firstLineChars="200"/>
        <w:rPr>
          <w:rFonts w:ascii="仿宋_GB2312" w:eastAsia="仿宋_GB2312"/>
          <w:sz w:val="32"/>
          <w:szCs w:val="32"/>
        </w:rPr>
      </w:pPr>
      <w:r>
        <w:rPr>
          <w:rFonts w:hint="eastAsia" w:ascii="仿宋_GB2312" w:eastAsia="仿宋_GB2312"/>
          <w:sz w:val="32"/>
          <w:szCs w:val="32"/>
        </w:rPr>
        <w:t>6.社会保障和就业支出（类）行政事业单位养老支出（款）机关事业单位职业年金缴费支出（项）:支出决算数为9.91万元，比上年决算增加2.99万元，增长43.2</w:t>
      </w:r>
      <w:r>
        <w:rPr>
          <w:rFonts w:hint="eastAsia" w:ascii="仿宋_GB2312" w:eastAsia="仿宋_GB2312"/>
          <w:sz w:val="32"/>
          <w:szCs w:val="32"/>
          <w:lang w:val="en-US" w:eastAsia="zh-CN"/>
        </w:rPr>
        <w:t>1</w:t>
      </w:r>
      <w:bookmarkStart w:id="48" w:name="_GoBack"/>
      <w:bookmarkEnd w:id="48"/>
      <w:r>
        <w:rPr>
          <w:rFonts w:hint="eastAsia" w:ascii="仿宋_GB2312" w:eastAsia="仿宋_GB2312"/>
          <w:sz w:val="32"/>
          <w:szCs w:val="32"/>
        </w:rPr>
        <w:t>%，主要原因是：</w:t>
      </w:r>
      <w:r>
        <w:rPr>
          <w:rFonts w:hint="eastAsia" w:ascii="仿宋_GB2312" w:eastAsia="仿宋_GB2312"/>
          <w:sz w:val="32"/>
          <w:szCs w:val="32"/>
          <w:lang w:val="zh-CN"/>
        </w:rPr>
        <w:t>单位本年新增退休1人，</w:t>
      </w:r>
      <w:r>
        <w:rPr>
          <w:rFonts w:hint="eastAsia" w:ascii="仿宋_GB2312" w:eastAsia="仿宋_GB2312"/>
          <w:sz w:val="32"/>
          <w:szCs w:val="32"/>
        </w:rPr>
        <w:t>职业年金缴费支出增加。</w:t>
      </w:r>
    </w:p>
    <w:p w14:paraId="4577CBE3">
      <w:pPr>
        <w:ind w:firstLine="640" w:firstLineChars="200"/>
        <w:rPr>
          <w:rFonts w:ascii="仿宋_GB2312" w:eastAsia="仿宋_GB2312"/>
          <w:sz w:val="32"/>
          <w:szCs w:val="32"/>
          <w:lang w:val="zh-CN"/>
        </w:rPr>
      </w:pPr>
      <w:r>
        <w:rPr>
          <w:rFonts w:hint="eastAsia" w:ascii="仿宋_GB2312" w:eastAsia="仿宋_GB2312"/>
          <w:sz w:val="32"/>
          <w:szCs w:val="32"/>
        </w:rPr>
        <w:t>7.教育支出（类）教育费附加安排的支出（款）农村中小学教学设施（项）:支出决算数为0.00万元，比上年决算减少1.97万元，下降100%，主要原因是：单位本年地方教育费附加减少，相应办公费、培训费减少</w:t>
      </w:r>
      <w:r>
        <w:rPr>
          <w:rFonts w:hint="eastAsia" w:ascii="仿宋_GB2312" w:eastAsia="仿宋_GB2312"/>
          <w:sz w:val="32"/>
          <w:szCs w:val="32"/>
          <w:lang w:val="zh-CN"/>
        </w:rPr>
        <w:t>。</w:t>
      </w:r>
    </w:p>
    <w:p w14:paraId="1FD5ADCA">
      <w:pPr>
        <w:ind w:firstLine="640" w:firstLineChars="200"/>
        <w:rPr>
          <w:rFonts w:ascii="仿宋_GB2312" w:eastAsia="仿宋_GB2312"/>
          <w:sz w:val="32"/>
          <w:szCs w:val="32"/>
          <w:lang w:val="zh-CN"/>
        </w:rPr>
      </w:pPr>
      <w:r>
        <w:rPr>
          <w:rFonts w:hint="eastAsia" w:ascii="仿宋_GB2312" w:eastAsia="仿宋_GB2312"/>
          <w:sz w:val="32"/>
          <w:szCs w:val="32"/>
        </w:rPr>
        <w:t>8.住房保障支出（类）住房改革支出（款）住房公积金（项）:支出决算数为0.00万元，比上年决算减少1.37万元，下降100%，主要原因是：</w:t>
      </w:r>
      <w:r>
        <w:rPr>
          <w:rFonts w:hint="eastAsia" w:ascii="仿宋_GB2312" w:eastAsia="仿宋_GB2312"/>
          <w:sz w:val="32"/>
          <w:szCs w:val="32"/>
          <w:lang w:val="zh-CN"/>
        </w:rPr>
        <w:t>科目调整，住房公积金调整至主款项。</w:t>
      </w:r>
    </w:p>
    <w:p w14:paraId="6378EE8E">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3164A510">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910.76万元，其中：人员经费899.21万元，包括：基本工资、津贴补贴、奖金、机关事业单位基本养老保险缴费、职业年金缴费、职工基本医疗保险缴费、其他社会保障缴费、住房公积金、退休费、抚恤金、生活补助、奖励金、其他对个人和家庭的补助。</w:t>
      </w:r>
    </w:p>
    <w:p w14:paraId="7D1D2ABB">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公用经费11.55万元，包括：电费、取暖费、培训费、其他商品和服务支出。</w:t>
      </w:r>
    </w:p>
    <w:p w14:paraId="62FD328E">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26895DB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14:paraId="7EDCC6B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76C02BC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455C4E47">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单位本年无此项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rPr>
        <w:t>本单位固定资产车辆与公务用车保有量一致无差异</w:t>
      </w:r>
      <w:r>
        <w:rPr>
          <w:rFonts w:hint="eastAsia" w:ascii="仿宋_GB2312" w:eastAsia="仿宋_GB2312"/>
          <w:sz w:val="32"/>
          <w:szCs w:val="32"/>
          <w:lang w:val="zh-CN"/>
        </w:rPr>
        <w:t>。</w:t>
      </w:r>
    </w:p>
    <w:p w14:paraId="0133E3A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3EB1E3D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14:paraId="497ED5AC">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14:paraId="21D8049F">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77361921">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716F113A">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4CF4E338">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69BDACA4">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2C94EC7E">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lang w:val="zh-CN"/>
        </w:rPr>
        <w:t>2023年度</w:t>
      </w:r>
      <w:r>
        <w:rPr>
          <w:rFonts w:hint="eastAsia" w:ascii="仿宋_GB2312" w:eastAsia="仿宋_GB2312"/>
          <w:sz w:val="32"/>
          <w:szCs w:val="32"/>
        </w:rPr>
        <w:t>木垒哈萨克自治县白杨河乡中心学校（事业单位）公用经费支出11.55万元，</w:t>
      </w:r>
      <w:r>
        <w:rPr>
          <w:rFonts w:hint="eastAsia" w:ascii="仿宋_GB2312" w:eastAsia="仿宋_GB2312"/>
          <w:sz w:val="32"/>
          <w:szCs w:val="32"/>
          <w:lang w:val="zh-CN"/>
        </w:rPr>
        <w:t>比上年增加10.55万元，增长1</w:t>
      </w:r>
      <w:r>
        <w:rPr>
          <w:rFonts w:hint="eastAsia" w:ascii="仿宋_GB2312" w:eastAsia="仿宋_GB2312"/>
          <w:sz w:val="32"/>
          <w:szCs w:val="32"/>
        </w:rPr>
        <w:t>,</w:t>
      </w:r>
      <w:r>
        <w:rPr>
          <w:rFonts w:hint="eastAsia" w:ascii="仿宋_GB2312" w:eastAsia="仿宋_GB2312"/>
          <w:sz w:val="32"/>
          <w:szCs w:val="32"/>
          <w:lang w:val="zh-CN"/>
        </w:rPr>
        <w:t>055.00%，主要原因是：</w:t>
      </w:r>
      <w:r>
        <w:rPr>
          <w:rFonts w:hint="eastAsia" w:ascii="仿宋_GB2312" w:eastAsia="仿宋_GB2312"/>
          <w:sz w:val="32"/>
          <w:szCs w:val="32"/>
        </w:rPr>
        <w:t>单位本年电费、取暖费、培训费较上年增加。</w:t>
      </w:r>
    </w:p>
    <w:p w14:paraId="68415A3D">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2E2FC66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2023年度政府采购支出总额0.00万元，其中：政府采购货物支出0.00万元、政府采购工程支出0.00万元、政府采购服务支出0.00万元。</w:t>
      </w:r>
    </w:p>
    <w:p w14:paraId="79DB3B00">
      <w:pPr>
        <w:ind w:firstLine="640" w:firstLineChars="200"/>
        <w:jc w:val="left"/>
        <w:rPr>
          <w:rFonts w:ascii="仿宋_GB2312" w:eastAsia="仿宋_GB2312"/>
          <w:sz w:val="32"/>
          <w:szCs w:val="32"/>
        </w:rPr>
      </w:pPr>
      <w:r>
        <w:rPr>
          <w:rFonts w:hint="eastAsia" w:ascii="仿宋_GB2312" w:eastAsia="仿宋_GB2312"/>
          <w:sz w:val="32"/>
          <w:szCs w:val="32"/>
          <w:lang w:val="zh-CN"/>
        </w:rPr>
        <w:t>授予中小企业合同金额0.00万元，占政府采购支出总额的0.00</w:t>
      </w:r>
      <w:r>
        <w:rPr>
          <w:rFonts w:ascii="仿宋_GB2312" w:eastAsia="仿宋_GB2312"/>
          <w:sz w:val="32"/>
          <w:szCs w:val="32"/>
          <w:lang w:val="zh-CN"/>
        </w:rPr>
        <w:t>%</w:t>
      </w:r>
      <w:r>
        <w:rPr>
          <w:rFonts w:hint="eastAsia" w:ascii="仿宋_GB2312" w:eastAsia="仿宋_GB2312"/>
          <w:sz w:val="32"/>
          <w:szCs w:val="32"/>
          <w:lang w:val="zh-CN"/>
        </w:rPr>
        <w:t>，其中：授予小微企业合同金额0.00万元，占政府采购支出总额的0.00</w:t>
      </w:r>
      <w:r>
        <w:rPr>
          <w:rFonts w:ascii="仿宋_GB2312" w:eastAsia="仿宋_GB2312"/>
          <w:sz w:val="32"/>
          <w:szCs w:val="32"/>
          <w:lang w:val="zh-CN"/>
        </w:rPr>
        <w:t>%</w:t>
      </w:r>
      <w:r>
        <w:rPr>
          <w:rFonts w:hint="eastAsia" w:ascii="仿宋_GB2312" w:eastAsia="仿宋_GB2312"/>
          <w:sz w:val="32"/>
          <w:szCs w:val="32"/>
        </w:rPr>
        <w:t>。</w:t>
      </w:r>
    </w:p>
    <w:p w14:paraId="6A736A2E">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68BD583A">
      <w:pPr>
        <w:ind w:firstLine="640" w:firstLineChars="200"/>
        <w:jc w:val="left"/>
        <w:rPr>
          <w:rFonts w:eastAsia="仿宋_GB2312"/>
          <w:sz w:val="32"/>
          <w:szCs w:val="32"/>
          <w:lang w:val="zh-CN"/>
        </w:rPr>
      </w:pPr>
      <w:r>
        <w:rPr>
          <w:rFonts w:hint="eastAsia" w:ascii="仿宋_GB2312" w:eastAsia="仿宋_GB2312"/>
          <w:sz w:val="32"/>
          <w:szCs w:val="32"/>
        </w:rPr>
        <w:t>截至2023</w:t>
      </w:r>
      <w:r>
        <w:rPr>
          <w:rFonts w:hint="eastAsia" w:ascii="仿宋_GB2312" w:eastAsia="仿宋_GB2312"/>
          <w:sz w:val="32"/>
          <w:szCs w:val="32"/>
          <w:lang w:val="zh-CN"/>
        </w:rPr>
        <w:t>年</w:t>
      </w:r>
      <w:r>
        <w:rPr>
          <w:rFonts w:hint="eastAsia" w:ascii="仿宋_GB2312" w:eastAsia="仿宋_GB2312"/>
          <w:sz w:val="32"/>
          <w:szCs w:val="32"/>
        </w:rPr>
        <w:t>12月31日</w:t>
      </w:r>
      <w:r>
        <w:rPr>
          <w:rFonts w:hint="eastAsia" w:ascii="仿宋_GB2312" w:eastAsia="仿宋_GB2312"/>
          <w:sz w:val="32"/>
          <w:szCs w:val="32"/>
          <w:lang w:val="zh-CN"/>
        </w:rPr>
        <w:t>，</w:t>
      </w:r>
      <w:r>
        <w:rPr>
          <w:rFonts w:hint="eastAsia" w:ascii="仿宋_GB2312" w:eastAsia="仿宋_GB2312"/>
          <w:sz w:val="32"/>
          <w:szCs w:val="32"/>
        </w:rPr>
        <w:t>固定资产原值</w:t>
      </w:r>
      <w:r>
        <w:rPr>
          <w:rFonts w:hint="eastAsia" w:ascii="仿宋_GB2312" w:eastAsia="仿宋_GB2312"/>
          <w:sz w:val="32"/>
          <w:szCs w:val="32"/>
          <w:lang w:val="zh-CN"/>
        </w:rPr>
        <w:t>843.84</w:t>
      </w:r>
      <w:r>
        <w:rPr>
          <w:rFonts w:hint="eastAsia" w:ascii="仿宋_GB2312" w:eastAsia="仿宋_GB2312"/>
          <w:sz w:val="32"/>
          <w:szCs w:val="32"/>
        </w:rPr>
        <w:t>万元，房</w:t>
      </w:r>
      <w:r>
        <w:rPr>
          <w:rFonts w:hint="eastAsia" w:ascii="仿宋_GB2312" w:eastAsia="仿宋_GB2312"/>
          <w:sz w:val="32"/>
          <w:szCs w:val="32"/>
          <w:lang w:val="zh-CN"/>
        </w:rPr>
        <w:t>屋6</w:t>
      </w:r>
      <w:r>
        <w:rPr>
          <w:rFonts w:hint="eastAsia" w:ascii="仿宋_GB2312" w:eastAsia="仿宋_GB2312"/>
          <w:sz w:val="32"/>
          <w:szCs w:val="32"/>
        </w:rPr>
        <w:t>,</w:t>
      </w:r>
      <w:r>
        <w:rPr>
          <w:rFonts w:hint="eastAsia" w:ascii="仿宋_GB2312" w:eastAsia="仿宋_GB2312"/>
          <w:sz w:val="32"/>
          <w:szCs w:val="32"/>
          <w:lang w:val="zh-CN"/>
        </w:rPr>
        <w:t>988.72平方米，价值636.17万元。车辆0辆，价值0.00万元，其中：副部（省）级及以上领导用车0辆、主要</w:t>
      </w:r>
      <w:r>
        <w:rPr>
          <w:rFonts w:hint="eastAsia" w:ascii="仿宋_GB2312" w:eastAsia="仿宋_GB2312"/>
          <w:sz w:val="32"/>
          <w:szCs w:val="32"/>
        </w:rPr>
        <w:t>负责人</w:t>
      </w:r>
      <w:r>
        <w:rPr>
          <w:rFonts w:hint="eastAsia" w:ascii="仿宋_GB2312" w:eastAsia="仿宋_GB2312"/>
          <w:sz w:val="32"/>
          <w:szCs w:val="32"/>
          <w:lang w:val="zh-CN"/>
        </w:rPr>
        <w:t>用车0辆、机要通信用车0辆、应急保障用车0辆、执法执勤用车0辆、特种专业技术用车0辆、离退休干部</w:t>
      </w:r>
      <w:r>
        <w:rPr>
          <w:rFonts w:hint="eastAsia" w:ascii="仿宋_GB2312" w:eastAsia="仿宋_GB2312"/>
          <w:sz w:val="32"/>
          <w:szCs w:val="32"/>
        </w:rPr>
        <w:t>服务</w:t>
      </w:r>
      <w:r>
        <w:rPr>
          <w:rFonts w:hint="eastAsia" w:ascii="仿宋_GB2312" w:eastAsia="仿宋_GB2312"/>
          <w:sz w:val="32"/>
          <w:szCs w:val="32"/>
          <w:lang w:val="zh-CN"/>
        </w:rPr>
        <w:t>用车0辆、其他用车0辆，其他用车主要是：</w:t>
      </w:r>
      <w:r>
        <w:rPr>
          <w:rFonts w:hint="eastAsia" w:ascii="仿宋_GB2312" w:eastAsia="仿宋_GB2312"/>
          <w:sz w:val="32"/>
          <w:szCs w:val="32"/>
        </w:rPr>
        <w:t>单位无其他用车</w:t>
      </w:r>
      <w:r>
        <w:rPr>
          <w:rFonts w:hint="eastAsia" w:ascii="仿宋_GB2312" w:eastAsia="仿宋_GB2312"/>
          <w:sz w:val="32"/>
          <w:szCs w:val="32"/>
          <w:lang w:val="zh-CN"/>
        </w:rPr>
        <w:t>；单价100万元（含）以上设备（不含车辆）0</w:t>
      </w:r>
      <w:r>
        <w:rPr>
          <w:rFonts w:hint="eastAsia" w:ascii="仿宋_GB2312" w:eastAsia="仿宋_GB2312"/>
          <w:sz w:val="32"/>
          <w:szCs w:val="32"/>
        </w:rPr>
        <w:t>台（</w:t>
      </w:r>
      <w:r>
        <w:rPr>
          <w:rFonts w:hint="eastAsia" w:ascii="仿宋_GB2312" w:eastAsia="仿宋_GB2312"/>
          <w:sz w:val="32"/>
          <w:szCs w:val="32"/>
          <w:lang w:val="zh-CN"/>
        </w:rPr>
        <w:t>套）。</w:t>
      </w:r>
    </w:p>
    <w:p w14:paraId="42EE8A07">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54320A08">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预算总额964.76万元，实际执行总额964.76万元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预算绩效管理取得的成效：一是做好群众服务工作，保障社会大局稳定，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Style w:val="9"/>
        <w:tblW w:w="5000" w:type="pct"/>
        <w:jc w:val="center"/>
        <w:tblLayout w:type="autofit"/>
        <w:tblCellMar>
          <w:top w:w="0" w:type="dxa"/>
          <w:left w:w="108" w:type="dxa"/>
          <w:bottom w:w="0" w:type="dxa"/>
          <w:right w:w="108" w:type="dxa"/>
        </w:tblCellMar>
      </w:tblPr>
      <w:tblGrid>
        <w:gridCol w:w="1554"/>
        <w:gridCol w:w="1197"/>
        <w:gridCol w:w="1171"/>
        <w:gridCol w:w="968"/>
        <w:gridCol w:w="1001"/>
        <w:gridCol w:w="793"/>
        <w:gridCol w:w="916"/>
        <w:gridCol w:w="922"/>
      </w:tblGrid>
      <w:tr w14:paraId="0678956B">
        <w:tblPrEx>
          <w:tblCellMar>
            <w:top w:w="0" w:type="dxa"/>
            <w:left w:w="108" w:type="dxa"/>
            <w:bottom w:w="0" w:type="dxa"/>
            <w:right w:w="108" w:type="dxa"/>
          </w:tblCellMar>
        </w:tblPrEx>
        <w:trPr>
          <w:trHeight w:val="522" w:hRule="atLeast"/>
          <w:jc w:val="center"/>
        </w:trPr>
        <w:tc>
          <w:tcPr>
            <w:tcW w:w="14194"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7A66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部门（单位）整体支出绩效目标自评表</w:t>
            </w:r>
          </w:p>
        </w:tc>
      </w:tr>
      <w:tr w14:paraId="7D9F16D2">
        <w:tblPrEx>
          <w:tblCellMar>
            <w:top w:w="0" w:type="dxa"/>
            <w:left w:w="108" w:type="dxa"/>
            <w:bottom w:w="0" w:type="dxa"/>
            <w:right w:w="108" w:type="dxa"/>
          </w:tblCellMar>
        </w:tblPrEx>
        <w:trPr>
          <w:trHeight w:val="360" w:hRule="atLeast"/>
          <w:jc w:val="center"/>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8D9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（2023年度）</w:t>
            </w:r>
          </w:p>
        </w:tc>
      </w:tr>
      <w:tr w14:paraId="08F9F7C2">
        <w:tblPrEx>
          <w:tblCellMar>
            <w:top w:w="0" w:type="dxa"/>
            <w:left w:w="108" w:type="dxa"/>
            <w:bottom w:w="0" w:type="dxa"/>
            <w:right w:w="108" w:type="dxa"/>
          </w:tblCellMar>
        </w:tblPrEx>
        <w:trPr>
          <w:trHeight w:val="66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B6FA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部门（单位）名称</w:t>
            </w:r>
          </w:p>
        </w:tc>
        <w:tc>
          <w:tcPr>
            <w:tcW w:w="0" w:type="auto"/>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7FD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木垒哈萨克自治县白杨河乡中心学校</w:t>
            </w:r>
          </w:p>
        </w:tc>
      </w:tr>
      <w:tr w14:paraId="764FC5B0">
        <w:tblPrEx>
          <w:tblCellMar>
            <w:top w:w="0" w:type="dxa"/>
            <w:left w:w="108" w:type="dxa"/>
            <w:bottom w:w="0" w:type="dxa"/>
            <w:right w:w="108" w:type="dxa"/>
          </w:tblCellMar>
        </w:tblPrEx>
        <w:trPr>
          <w:trHeight w:val="570" w:hRule="atLeast"/>
          <w:jc w:val="center"/>
        </w:trPr>
        <w:tc>
          <w:tcPr>
            <w:tcW w:w="26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A279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部门资金（万元）</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02EF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767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DAC7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F4FB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2EA1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A50F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FDAF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35BDD25E">
        <w:tblPrEx>
          <w:tblCellMar>
            <w:top w:w="0" w:type="dxa"/>
            <w:left w:w="108" w:type="dxa"/>
            <w:bottom w:w="0" w:type="dxa"/>
            <w:right w:w="108" w:type="dxa"/>
          </w:tblCellMar>
        </w:tblPrEx>
        <w:trPr>
          <w:trHeight w:val="88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5FE539">
            <w:pPr>
              <w:jc w:val="center"/>
              <w:rPr>
                <w:rFonts w:hint="eastAsia" w:ascii="宋体" w:hAnsi="宋体" w:cs="宋体"/>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9B85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中央安排</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0B19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20.39</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A20E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19.72</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E4F4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19.72</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565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0539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2ED7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4AD2F9AB">
        <w:tblPrEx>
          <w:tblCellMar>
            <w:top w:w="0" w:type="dxa"/>
            <w:left w:w="108" w:type="dxa"/>
            <w:bottom w:w="0" w:type="dxa"/>
            <w:right w:w="108" w:type="dxa"/>
          </w:tblCellMar>
        </w:tblPrEx>
        <w:trPr>
          <w:trHeight w:val="88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3C20A9">
            <w:pPr>
              <w:jc w:val="center"/>
              <w:rPr>
                <w:rFonts w:hint="eastAsia" w:ascii="宋体" w:hAnsi="宋体" w:cs="宋体"/>
                <w:color w:val="000000"/>
                <w:sz w:val="20"/>
                <w:szCs w:val="20"/>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DDC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自治区安排</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90E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1.32</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D211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3.00</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AF66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3.00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B83B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9DE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7696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6D318729">
        <w:tblPrEx>
          <w:tblCellMar>
            <w:top w:w="0" w:type="dxa"/>
            <w:left w:w="108" w:type="dxa"/>
            <w:bottom w:w="0" w:type="dxa"/>
            <w:right w:w="108" w:type="dxa"/>
          </w:tblCellMar>
        </w:tblPrEx>
        <w:trPr>
          <w:trHeight w:val="88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C0F4E2">
            <w:pPr>
              <w:jc w:val="center"/>
              <w:rPr>
                <w:rFonts w:hint="eastAsia" w:ascii="宋体" w:hAnsi="宋体" w:cs="宋体"/>
                <w:color w:val="000000"/>
                <w:sz w:val="20"/>
                <w:szCs w:val="20"/>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F3A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地（州、市）安排</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0776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0D66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ED5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87C5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78A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80E8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5EF89E7E">
        <w:tblPrEx>
          <w:tblCellMar>
            <w:top w:w="0" w:type="dxa"/>
            <w:left w:w="108" w:type="dxa"/>
            <w:bottom w:w="0" w:type="dxa"/>
            <w:right w:w="108" w:type="dxa"/>
          </w:tblCellMar>
        </w:tblPrEx>
        <w:trPr>
          <w:trHeight w:val="88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1B2C5A">
            <w:pPr>
              <w:jc w:val="center"/>
              <w:rPr>
                <w:rFonts w:hint="eastAsia" w:ascii="宋体" w:hAnsi="宋体" w:cs="宋体"/>
                <w:color w:val="000000"/>
                <w:sz w:val="20"/>
                <w:szCs w:val="20"/>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147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县（市、区）安排</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8F6D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876.32</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273D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942.04</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2E1E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942.04</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27E10">
            <w:pPr>
              <w:jc w:val="center"/>
              <w:rPr>
                <w:rFonts w:hint="eastAsia" w:ascii="宋体" w:hAnsi="宋体" w:cs="宋体"/>
                <w:color w:val="000000"/>
                <w:sz w:val="20"/>
                <w:szCs w:val="20"/>
              </w:rPr>
            </w:pPr>
            <w:r>
              <w:rPr>
                <w:rFonts w:hint="eastAsia"/>
              </w:rPr>
              <w:t>-</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B2FC2">
            <w:pPr>
              <w:jc w:val="center"/>
              <w:rPr>
                <w:rFonts w:hint="eastAsia" w:ascii="宋体" w:hAnsi="宋体" w:cs="宋体"/>
                <w:color w:val="000000"/>
                <w:sz w:val="20"/>
                <w:szCs w:val="20"/>
              </w:rPr>
            </w:pPr>
            <w:r>
              <w:rPr>
                <w:rFonts w:hint="eastAsia"/>
              </w:rPr>
              <w:t>-</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420BC">
            <w:pPr>
              <w:jc w:val="center"/>
              <w:rPr>
                <w:rFonts w:hint="eastAsia" w:ascii="宋体" w:hAnsi="宋体" w:cs="宋体"/>
                <w:color w:val="000000"/>
                <w:sz w:val="20"/>
                <w:szCs w:val="20"/>
              </w:rPr>
            </w:pPr>
            <w:r>
              <w:rPr>
                <w:rFonts w:hint="eastAsia"/>
              </w:rPr>
              <w:t>-</w:t>
            </w:r>
          </w:p>
        </w:tc>
      </w:tr>
      <w:tr w14:paraId="41FBFF8D">
        <w:tblPrEx>
          <w:tblCellMar>
            <w:top w:w="0" w:type="dxa"/>
            <w:left w:w="108" w:type="dxa"/>
            <w:bottom w:w="0" w:type="dxa"/>
            <w:right w:w="108" w:type="dxa"/>
          </w:tblCellMar>
        </w:tblPrEx>
        <w:trPr>
          <w:trHeight w:val="88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E52B95">
            <w:pPr>
              <w:jc w:val="center"/>
              <w:rPr>
                <w:rFonts w:hint="eastAsia" w:ascii="宋体" w:hAnsi="宋体" w:cs="宋体"/>
                <w:color w:val="000000"/>
                <w:sz w:val="20"/>
                <w:szCs w:val="20"/>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5A48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4DD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64DA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D473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31E57">
            <w:pPr>
              <w:jc w:val="center"/>
              <w:rPr>
                <w:rFonts w:hint="eastAsia" w:ascii="宋体" w:hAnsi="宋体" w:cs="宋体"/>
                <w:color w:val="000000"/>
                <w:sz w:val="20"/>
                <w:szCs w:val="20"/>
              </w:rPr>
            </w:pPr>
            <w:r>
              <w:rPr>
                <w:rFonts w:hint="eastAsia"/>
              </w:rPr>
              <w:t>-</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FE35F">
            <w:pPr>
              <w:jc w:val="center"/>
              <w:rPr>
                <w:rFonts w:hint="eastAsia" w:ascii="宋体" w:hAnsi="宋体" w:cs="宋体"/>
                <w:color w:val="000000"/>
                <w:sz w:val="20"/>
                <w:szCs w:val="20"/>
              </w:rPr>
            </w:pPr>
            <w:r>
              <w:rPr>
                <w:rFonts w:hint="eastAsia"/>
              </w:rPr>
              <w:t>-</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27F57">
            <w:pPr>
              <w:jc w:val="center"/>
              <w:rPr>
                <w:rFonts w:hint="eastAsia" w:ascii="宋体" w:hAnsi="宋体" w:cs="宋体"/>
                <w:color w:val="000000"/>
                <w:sz w:val="20"/>
                <w:szCs w:val="20"/>
              </w:rPr>
            </w:pPr>
            <w:r>
              <w:rPr>
                <w:rFonts w:hint="eastAsia"/>
              </w:rPr>
              <w:t>-</w:t>
            </w:r>
          </w:p>
        </w:tc>
      </w:tr>
      <w:tr w14:paraId="207E6EC2">
        <w:tblPrEx>
          <w:tblCellMar>
            <w:top w:w="0" w:type="dxa"/>
            <w:left w:w="108" w:type="dxa"/>
            <w:bottom w:w="0" w:type="dxa"/>
            <w:right w:w="108" w:type="dxa"/>
          </w:tblCellMar>
        </w:tblPrEx>
        <w:trPr>
          <w:trHeight w:val="88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87A0FB">
            <w:pPr>
              <w:jc w:val="center"/>
              <w:rPr>
                <w:rFonts w:hint="eastAsia" w:ascii="宋体" w:hAnsi="宋体" w:cs="宋体"/>
                <w:color w:val="000000"/>
                <w:sz w:val="20"/>
                <w:szCs w:val="20"/>
              </w:rPr>
            </w:pP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7B87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合计</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B99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898.03</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2E9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964.76</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C030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964.76</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D8B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8953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0AFA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36AB3DBA">
        <w:tblPrEx>
          <w:tblCellMar>
            <w:top w:w="0" w:type="dxa"/>
            <w:left w:w="108" w:type="dxa"/>
            <w:bottom w:w="0" w:type="dxa"/>
            <w:right w:w="108" w:type="dxa"/>
          </w:tblCellMar>
        </w:tblPrEx>
        <w:trPr>
          <w:trHeight w:val="705" w:hRule="atLeast"/>
          <w:jc w:val="center"/>
        </w:trPr>
        <w:tc>
          <w:tcPr>
            <w:tcW w:w="26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6BD5F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BC47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BCB8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14:paraId="5D77452C">
        <w:tblPrEx>
          <w:tblCellMar>
            <w:top w:w="0" w:type="dxa"/>
            <w:left w:w="108" w:type="dxa"/>
            <w:bottom w:w="0" w:type="dxa"/>
            <w:right w:w="108" w:type="dxa"/>
          </w:tblCellMar>
        </w:tblPrEx>
        <w:trPr>
          <w:trHeight w:val="200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6BD9F1">
            <w:pPr>
              <w:jc w:val="center"/>
              <w:rPr>
                <w:rFonts w:hint="eastAsia" w:ascii="宋体" w:hAnsi="宋体" w:cs="宋体"/>
                <w:color w:val="000000"/>
                <w:sz w:val="20"/>
                <w:szCs w:val="20"/>
              </w:rPr>
            </w:pPr>
          </w:p>
        </w:tc>
        <w:tc>
          <w:tcPr>
            <w:tcW w:w="55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E94ED6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完成坚持每周开展教研活动，每学期主题式校本研修活动不少于四次，效果好；查阅学校教学常规检查资料，每学期综合检查不少于4次，有记录、有反馈、有改进措施；“三进两联一交友”联谊活动每学期不少于2次；按计划组织开展法治教育活动，每学期不少于一次，法治教育工作机构健全、制度完善，学习各类法律法规资料齐全，活动资料完善。</w:t>
            </w:r>
          </w:p>
        </w:tc>
        <w:tc>
          <w:tcPr>
            <w:tcW w:w="594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26590F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截止2023年12月31日，我单位已完成6个班157名学生的教育工作，组织教师教研培训45次且合格率均为100%；学生升学率、学生校园活动参与率、各类考试完成及时率均为100%，“三进两联一交友”联谊活动每学期2次，每学期开展法制教育活动1次，每学期教学常规检查2次，教师研修活动每学期4次。工资待遇不比本科生差”为主题，对学校课程设置、专业学科建设、办学特色等工作做了宣传。各类培训、教学常规检查、教师研修活动、法治教育活动资料齐全，活动资料完善。</w:t>
            </w:r>
          </w:p>
        </w:tc>
      </w:tr>
      <w:tr w14:paraId="5898DEB8">
        <w:tblPrEx>
          <w:tblCellMar>
            <w:top w:w="0" w:type="dxa"/>
            <w:left w:w="108" w:type="dxa"/>
            <w:bottom w:w="0" w:type="dxa"/>
            <w:right w:w="108" w:type="dxa"/>
          </w:tblCellMar>
        </w:tblPrEx>
        <w:trPr>
          <w:trHeight w:val="580" w:hRule="atLeast"/>
          <w:jc w:val="center"/>
        </w:trPr>
        <w:tc>
          <w:tcPr>
            <w:tcW w:w="2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582F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E6A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7DF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F422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预期指标值</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8B0B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指标值设定依据</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F8C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0BF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实际完成指标值</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25F9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221776C3">
        <w:tblPrEx>
          <w:tblCellMar>
            <w:top w:w="0" w:type="dxa"/>
            <w:left w:w="108" w:type="dxa"/>
            <w:bottom w:w="0" w:type="dxa"/>
            <w:right w:w="108" w:type="dxa"/>
          </w:tblCellMar>
        </w:tblPrEx>
        <w:trPr>
          <w:trHeight w:val="740" w:hRule="atLeast"/>
          <w:jc w:val="center"/>
        </w:trPr>
        <w:tc>
          <w:tcPr>
            <w:tcW w:w="26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A516A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运行成本</w:t>
            </w:r>
          </w:p>
        </w:tc>
        <w:tc>
          <w:tcPr>
            <w:tcW w:w="20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62EE6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0578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保障办公人员工数量</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BCBA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&gt;=45人</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FF92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木垒县白杨河乡中心学校机构改革方案</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6AF0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48C4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45人</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78F7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r>
      <w:tr w14:paraId="65CEA5A9">
        <w:tblPrEx>
          <w:tblCellMar>
            <w:top w:w="0" w:type="dxa"/>
            <w:left w:w="108" w:type="dxa"/>
            <w:bottom w:w="0" w:type="dxa"/>
            <w:right w:w="108" w:type="dxa"/>
          </w:tblCellMar>
        </w:tblPrEx>
        <w:trPr>
          <w:trHeight w:val="74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33E8F5">
            <w:pPr>
              <w:jc w:val="center"/>
              <w:rPr>
                <w:rFonts w:hint="eastAsia" w:ascii="宋体" w:hAnsi="宋体" w:cs="宋体"/>
                <w:color w:val="000000"/>
                <w:sz w:val="20"/>
                <w:szCs w:val="20"/>
              </w:rPr>
            </w:pP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7D0234">
            <w:pPr>
              <w:jc w:val="center"/>
              <w:rPr>
                <w:rFonts w:hint="eastAsia" w:ascii="宋体" w:hAnsi="宋体" w:cs="宋体"/>
                <w:color w:val="000000"/>
                <w:sz w:val="20"/>
                <w:szCs w:val="20"/>
              </w:rPr>
            </w:pP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A60D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房屋建筑供暖面积</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179F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&gt;=6908平方米</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191C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木垒县白杨河乡中心学校2023年预算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2B2B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0246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6908平方米</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237A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7</w:t>
            </w:r>
          </w:p>
        </w:tc>
      </w:tr>
      <w:tr w14:paraId="1127852F">
        <w:tblPrEx>
          <w:tblCellMar>
            <w:top w:w="0" w:type="dxa"/>
            <w:left w:w="108" w:type="dxa"/>
            <w:bottom w:w="0" w:type="dxa"/>
            <w:right w:w="108" w:type="dxa"/>
          </w:tblCellMar>
        </w:tblPrEx>
        <w:trPr>
          <w:trHeight w:val="740" w:hRule="atLeast"/>
          <w:jc w:val="center"/>
        </w:trPr>
        <w:tc>
          <w:tcPr>
            <w:tcW w:w="2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63EF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管理效率</w:t>
            </w: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9ADCF4">
            <w:pPr>
              <w:jc w:val="center"/>
              <w:rPr>
                <w:rFonts w:hint="eastAsia" w:ascii="宋体" w:hAnsi="宋体" w:cs="宋体"/>
                <w:color w:val="000000"/>
                <w:sz w:val="20"/>
                <w:szCs w:val="20"/>
              </w:rPr>
            </w:pP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B5833">
            <w:pPr>
              <w:jc w:val="center"/>
              <w:rPr>
                <w:rFonts w:hint="eastAsia" w:ascii="宋体" w:hAnsi="宋体" w:cs="宋体"/>
                <w:color w:val="000000"/>
                <w:sz w:val="20"/>
                <w:szCs w:val="20"/>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39B61">
            <w:pPr>
              <w:jc w:val="center"/>
              <w:rPr>
                <w:rFonts w:hint="eastAsia" w:ascii="宋体" w:hAnsi="宋体" w:cs="宋体"/>
                <w:color w:val="000000"/>
                <w:sz w:val="20"/>
                <w:szCs w:val="20"/>
              </w:rPr>
            </w:pP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CC603">
            <w:pPr>
              <w:jc w:val="center"/>
              <w:rPr>
                <w:rFonts w:hint="eastAsia" w:ascii="宋体" w:hAnsi="宋体" w:cs="宋体"/>
                <w:color w:val="000000"/>
                <w:sz w:val="20"/>
                <w:szCs w:val="20"/>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5188A">
            <w:pPr>
              <w:jc w:val="center"/>
              <w:rPr>
                <w:rFonts w:hint="eastAsia" w:ascii="宋体" w:hAnsi="宋体" w:cs="宋体"/>
                <w:color w:val="000000"/>
                <w:sz w:val="20"/>
                <w:szCs w:val="20"/>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B297E">
            <w:pPr>
              <w:jc w:val="center"/>
              <w:rPr>
                <w:rFonts w:hint="eastAsia" w:ascii="宋体" w:hAnsi="宋体" w:cs="宋体"/>
                <w:color w:val="000000"/>
                <w:sz w:val="20"/>
                <w:szCs w:val="20"/>
              </w:rPr>
            </w:pP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3ABEC">
            <w:pPr>
              <w:jc w:val="center"/>
              <w:rPr>
                <w:rFonts w:hint="eastAsia" w:ascii="宋体" w:hAnsi="宋体" w:cs="宋体"/>
                <w:color w:val="000000"/>
                <w:sz w:val="20"/>
                <w:szCs w:val="20"/>
              </w:rPr>
            </w:pPr>
          </w:p>
        </w:tc>
      </w:tr>
      <w:tr w14:paraId="06FFE82A">
        <w:tblPrEx>
          <w:tblCellMar>
            <w:top w:w="0" w:type="dxa"/>
            <w:left w:w="108" w:type="dxa"/>
            <w:bottom w:w="0" w:type="dxa"/>
            <w:right w:w="108" w:type="dxa"/>
          </w:tblCellMar>
        </w:tblPrEx>
        <w:trPr>
          <w:trHeight w:val="740" w:hRule="atLeast"/>
          <w:jc w:val="center"/>
        </w:trPr>
        <w:tc>
          <w:tcPr>
            <w:tcW w:w="26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2D06B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履职效能</w:t>
            </w: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673528">
            <w:pPr>
              <w:jc w:val="center"/>
              <w:rPr>
                <w:rFonts w:hint="eastAsia" w:ascii="宋体" w:hAnsi="宋体" w:cs="宋体"/>
                <w:color w:val="000000"/>
                <w:sz w:val="20"/>
                <w:szCs w:val="20"/>
              </w:rPr>
            </w:pP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F0C7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管理班级数</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EB96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&gt;=6个</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C76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木垒县白杨河乡中心学校2023年工作计划</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20FA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F6AA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6个</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BABF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3F00D22D">
        <w:tblPrEx>
          <w:tblCellMar>
            <w:top w:w="0" w:type="dxa"/>
            <w:left w:w="108" w:type="dxa"/>
            <w:bottom w:w="0" w:type="dxa"/>
            <w:right w:w="108" w:type="dxa"/>
          </w:tblCellMar>
        </w:tblPrEx>
        <w:trPr>
          <w:trHeight w:val="74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7A3BCC">
            <w:pPr>
              <w:jc w:val="center"/>
              <w:rPr>
                <w:rFonts w:hint="eastAsia" w:ascii="宋体" w:hAnsi="宋体" w:cs="宋体"/>
                <w:color w:val="000000"/>
                <w:sz w:val="20"/>
                <w:szCs w:val="20"/>
              </w:rPr>
            </w:pP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54BEDA">
            <w:pPr>
              <w:jc w:val="center"/>
              <w:rPr>
                <w:rFonts w:hint="eastAsia" w:ascii="宋体" w:hAnsi="宋体" w:cs="宋体"/>
                <w:color w:val="000000"/>
                <w:sz w:val="20"/>
                <w:szCs w:val="20"/>
              </w:rPr>
            </w:pP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A7E7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“三进两联一交友”联谊活动每学期数量</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1BFA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&gt;=2次</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2DE5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木垒县白杨河乡中心学校综合（绩效）考核指标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758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31A0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2次</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B600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r>
      <w:tr w14:paraId="128D85F2">
        <w:tblPrEx>
          <w:tblCellMar>
            <w:top w:w="0" w:type="dxa"/>
            <w:left w:w="108" w:type="dxa"/>
            <w:bottom w:w="0" w:type="dxa"/>
            <w:right w:w="108" w:type="dxa"/>
          </w:tblCellMar>
        </w:tblPrEx>
        <w:trPr>
          <w:trHeight w:val="74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8BE111">
            <w:pPr>
              <w:jc w:val="center"/>
              <w:rPr>
                <w:rFonts w:hint="eastAsia" w:ascii="宋体" w:hAnsi="宋体" w:cs="宋体"/>
                <w:color w:val="000000"/>
                <w:sz w:val="20"/>
                <w:szCs w:val="20"/>
              </w:rPr>
            </w:pP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45FF0D">
            <w:pPr>
              <w:jc w:val="center"/>
              <w:rPr>
                <w:rFonts w:hint="eastAsia" w:ascii="宋体" w:hAnsi="宋体" w:cs="宋体"/>
                <w:color w:val="000000"/>
                <w:sz w:val="20"/>
                <w:szCs w:val="20"/>
              </w:rPr>
            </w:pP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6603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学校教学常规检查</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5737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&gt;=4次</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CA95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木垒县白杨河乡中心学校综合（绩效）考核指标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9AFD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BDC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4次</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B808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r>
      <w:tr w14:paraId="46B0FFF1">
        <w:tblPrEx>
          <w:tblCellMar>
            <w:top w:w="0" w:type="dxa"/>
            <w:left w:w="108" w:type="dxa"/>
            <w:bottom w:w="0" w:type="dxa"/>
            <w:right w:w="108" w:type="dxa"/>
          </w:tblCellMar>
        </w:tblPrEx>
        <w:trPr>
          <w:trHeight w:val="74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58476A">
            <w:pPr>
              <w:jc w:val="center"/>
              <w:rPr>
                <w:rFonts w:hint="eastAsia" w:ascii="宋体" w:hAnsi="宋体" w:cs="宋体"/>
                <w:color w:val="000000"/>
                <w:sz w:val="20"/>
                <w:szCs w:val="20"/>
              </w:rPr>
            </w:pP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B897AF">
            <w:pPr>
              <w:jc w:val="center"/>
              <w:rPr>
                <w:rFonts w:hint="eastAsia" w:ascii="宋体" w:hAnsi="宋体" w:cs="宋体"/>
                <w:color w:val="000000"/>
                <w:sz w:val="20"/>
                <w:szCs w:val="20"/>
              </w:rPr>
            </w:pP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FD6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组织开展法制教育活动</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0B2E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&gt;=1次</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CB48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木垒县白杨河乡中心学校综合（绩效）考核指标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703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9980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1次</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9319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r>
      <w:tr w14:paraId="4C7A6BD4">
        <w:tblPrEx>
          <w:tblCellMar>
            <w:top w:w="0" w:type="dxa"/>
            <w:left w:w="108" w:type="dxa"/>
            <w:bottom w:w="0" w:type="dxa"/>
            <w:right w:w="108" w:type="dxa"/>
          </w:tblCellMar>
        </w:tblPrEx>
        <w:trPr>
          <w:trHeight w:val="74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57AB54">
            <w:pPr>
              <w:jc w:val="center"/>
              <w:rPr>
                <w:rFonts w:hint="eastAsia" w:ascii="宋体" w:hAnsi="宋体" w:cs="宋体"/>
                <w:color w:val="000000"/>
                <w:sz w:val="20"/>
                <w:szCs w:val="20"/>
              </w:rPr>
            </w:pP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5462C6">
            <w:pPr>
              <w:jc w:val="center"/>
              <w:rPr>
                <w:rFonts w:hint="eastAsia" w:ascii="宋体" w:hAnsi="宋体" w:cs="宋体"/>
                <w:color w:val="000000"/>
                <w:sz w:val="20"/>
                <w:szCs w:val="20"/>
              </w:rPr>
            </w:pP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E14A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各类培训及学习次数</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C2D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&gt;=21次</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5B7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木垒县白杨河乡中心学校2023年工作计划</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6648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ADEC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21次</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1C62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w:t>
            </w:r>
          </w:p>
        </w:tc>
      </w:tr>
      <w:tr w14:paraId="53599189">
        <w:tblPrEx>
          <w:tblCellMar>
            <w:top w:w="0" w:type="dxa"/>
            <w:left w:w="108" w:type="dxa"/>
            <w:bottom w:w="0" w:type="dxa"/>
            <w:right w:w="108" w:type="dxa"/>
          </w:tblCellMar>
        </w:tblPrEx>
        <w:trPr>
          <w:trHeight w:val="740" w:hRule="atLeast"/>
          <w:jc w:val="center"/>
        </w:trPr>
        <w:tc>
          <w:tcPr>
            <w:tcW w:w="26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877252">
            <w:pPr>
              <w:jc w:val="center"/>
              <w:rPr>
                <w:rFonts w:hint="eastAsia" w:ascii="宋体" w:hAnsi="宋体" w:cs="宋体"/>
                <w:color w:val="000000"/>
                <w:sz w:val="20"/>
                <w:szCs w:val="20"/>
              </w:rPr>
            </w:pPr>
          </w:p>
        </w:tc>
        <w:tc>
          <w:tcPr>
            <w:tcW w:w="20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396025">
            <w:pPr>
              <w:jc w:val="center"/>
              <w:rPr>
                <w:rFonts w:hint="eastAsia" w:ascii="宋体" w:hAnsi="宋体" w:cs="宋体"/>
                <w:color w:val="000000"/>
                <w:sz w:val="20"/>
                <w:szCs w:val="20"/>
              </w:rPr>
            </w:pP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A59A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每学期主题式校本研修活动</w:t>
            </w: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E89A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＞=4次</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39CA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木垒县白杨河乡中心学校综合（绩效）考核指标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E0D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BC1D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4次</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82B7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6DB0AB04">
        <w:tblPrEx>
          <w:tblCellMar>
            <w:top w:w="0" w:type="dxa"/>
            <w:left w:w="108" w:type="dxa"/>
            <w:bottom w:w="0" w:type="dxa"/>
            <w:right w:w="108" w:type="dxa"/>
          </w:tblCellMar>
        </w:tblPrEx>
        <w:trPr>
          <w:trHeight w:val="740" w:hRule="atLeast"/>
          <w:jc w:val="center"/>
        </w:trPr>
        <w:tc>
          <w:tcPr>
            <w:tcW w:w="2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10B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2CD00">
            <w:pPr>
              <w:jc w:val="center"/>
              <w:rPr>
                <w:rFonts w:hint="eastAsia" w:ascii="宋体" w:hAnsi="宋体" w:cs="宋体"/>
                <w:color w:val="000000"/>
                <w:sz w:val="20"/>
                <w:szCs w:val="20"/>
              </w:rPr>
            </w:pP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F4D4B">
            <w:pPr>
              <w:jc w:val="center"/>
              <w:rPr>
                <w:rFonts w:hint="eastAsia" w:ascii="宋体" w:hAnsi="宋体" w:cs="宋体"/>
                <w:color w:val="000000"/>
                <w:sz w:val="20"/>
                <w:szCs w:val="20"/>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51D58">
            <w:pPr>
              <w:jc w:val="center"/>
              <w:rPr>
                <w:rFonts w:hint="eastAsia" w:ascii="宋体" w:hAnsi="宋体" w:cs="宋体"/>
                <w:color w:val="000000"/>
                <w:sz w:val="20"/>
                <w:szCs w:val="20"/>
              </w:rPr>
            </w:pP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3B6C5">
            <w:pPr>
              <w:jc w:val="center"/>
              <w:rPr>
                <w:rFonts w:hint="eastAsia" w:ascii="宋体" w:hAnsi="宋体" w:cs="宋体"/>
                <w:color w:val="000000"/>
                <w:sz w:val="20"/>
                <w:szCs w:val="20"/>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7A2E0">
            <w:pPr>
              <w:jc w:val="center"/>
              <w:rPr>
                <w:rFonts w:hint="eastAsia" w:ascii="宋体" w:hAnsi="宋体" w:cs="宋体"/>
                <w:color w:val="000000"/>
                <w:sz w:val="20"/>
                <w:szCs w:val="20"/>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00FCB">
            <w:pPr>
              <w:jc w:val="center"/>
              <w:rPr>
                <w:rFonts w:hint="eastAsia" w:ascii="宋体" w:hAnsi="宋体" w:cs="宋体"/>
                <w:color w:val="000000"/>
                <w:sz w:val="20"/>
                <w:szCs w:val="20"/>
              </w:rPr>
            </w:pP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A9CDC">
            <w:pPr>
              <w:jc w:val="center"/>
              <w:rPr>
                <w:rFonts w:hint="eastAsia" w:ascii="宋体" w:hAnsi="宋体" w:cs="宋体"/>
                <w:color w:val="000000"/>
                <w:sz w:val="20"/>
                <w:szCs w:val="20"/>
              </w:rPr>
            </w:pPr>
          </w:p>
        </w:tc>
      </w:tr>
      <w:tr w14:paraId="2A9B86C3">
        <w:tblPrEx>
          <w:tblCellMar>
            <w:top w:w="0" w:type="dxa"/>
            <w:left w:w="108" w:type="dxa"/>
            <w:bottom w:w="0" w:type="dxa"/>
            <w:right w:w="108" w:type="dxa"/>
          </w:tblCellMar>
        </w:tblPrEx>
        <w:trPr>
          <w:trHeight w:val="740" w:hRule="atLeast"/>
          <w:jc w:val="center"/>
        </w:trPr>
        <w:tc>
          <w:tcPr>
            <w:tcW w:w="2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DA57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可持续发展能力</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1F7E3">
            <w:pPr>
              <w:jc w:val="center"/>
              <w:rPr>
                <w:rFonts w:hint="eastAsia" w:ascii="宋体" w:hAnsi="宋体" w:cs="宋体"/>
                <w:color w:val="000000"/>
                <w:sz w:val="20"/>
                <w:szCs w:val="20"/>
              </w:rPr>
            </w:pP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F8CA4">
            <w:pPr>
              <w:jc w:val="center"/>
              <w:rPr>
                <w:rFonts w:hint="eastAsia" w:ascii="宋体" w:hAnsi="宋体" w:cs="宋体"/>
                <w:color w:val="000000"/>
                <w:sz w:val="20"/>
                <w:szCs w:val="20"/>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34CDE">
            <w:pPr>
              <w:jc w:val="center"/>
              <w:rPr>
                <w:rFonts w:hint="eastAsia" w:ascii="宋体" w:hAnsi="宋体" w:cs="宋体"/>
                <w:color w:val="000000"/>
                <w:sz w:val="20"/>
                <w:szCs w:val="20"/>
              </w:rPr>
            </w:pP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89998">
            <w:pPr>
              <w:jc w:val="center"/>
              <w:rPr>
                <w:rFonts w:hint="eastAsia" w:ascii="宋体" w:hAnsi="宋体" w:cs="宋体"/>
                <w:color w:val="000000"/>
                <w:sz w:val="20"/>
                <w:szCs w:val="20"/>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937DB">
            <w:pPr>
              <w:jc w:val="center"/>
              <w:rPr>
                <w:rFonts w:hint="eastAsia" w:ascii="宋体" w:hAnsi="宋体" w:cs="宋体"/>
                <w:color w:val="000000"/>
                <w:sz w:val="20"/>
                <w:szCs w:val="20"/>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0AC04">
            <w:pPr>
              <w:jc w:val="center"/>
              <w:rPr>
                <w:rFonts w:hint="eastAsia" w:ascii="宋体" w:hAnsi="宋体" w:cs="宋体"/>
                <w:color w:val="000000"/>
                <w:sz w:val="20"/>
                <w:szCs w:val="20"/>
              </w:rPr>
            </w:pP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3FF06">
            <w:pPr>
              <w:jc w:val="center"/>
              <w:rPr>
                <w:rFonts w:hint="eastAsia" w:ascii="宋体" w:hAnsi="宋体" w:cs="宋体"/>
                <w:color w:val="000000"/>
                <w:sz w:val="20"/>
                <w:szCs w:val="20"/>
              </w:rPr>
            </w:pPr>
          </w:p>
        </w:tc>
      </w:tr>
      <w:tr w14:paraId="79B1E7DE">
        <w:trPr>
          <w:trHeight w:val="740" w:hRule="atLeast"/>
          <w:jc w:val="center"/>
        </w:trPr>
        <w:tc>
          <w:tcPr>
            <w:tcW w:w="26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DAAC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服务对象满意度</w:t>
            </w:r>
          </w:p>
        </w:tc>
        <w:tc>
          <w:tcPr>
            <w:tcW w:w="2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E4AA5">
            <w:pPr>
              <w:jc w:val="center"/>
              <w:rPr>
                <w:rFonts w:hint="eastAsia" w:ascii="宋体" w:hAnsi="宋体" w:cs="宋体"/>
                <w:color w:val="000000"/>
                <w:sz w:val="20"/>
                <w:szCs w:val="20"/>
              </w:rPr>
            </w:pPr>
          </w:p>
        </w:tc>
        <w:tc>
          <w:tcPr>
            <w:tcW w:w="1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2836C">
            <w:pPr>
              <w:jc w:val="center"/>
              <w:rPr>
                <w:rFonts w:hint="eastAsia" w:ascii="宋体" w:hAnsi="宋体" w:cs="宋体"/>
                <w:color w:val="000000"/>
                <w:sz w:val="20"/>
                <w:szCs w:val="20"/>
              </w:rPr>
            </w:pPr>
          </w:p>
        </w:tc>
        <w:tc>
          <w:tcPr>
            <w:tcW w:w="15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873DE">
            <w:pPr>
              <w:jc w:val="center"/>
              <w:rPr>
                <w:rFonts w:hint="eastAsia" w:ascii="宋体" w:hAnsi="宋体" w:cs="宋体"/>
                <w:color w:val="000000"/>
                <w:sz w:val="20"/>
                <w:szCs w:val="20"/>
              </w:rPr>
            </w:pP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1D6E0">
            <w:pPr>
              <w:jc w:val="center"/>
              <w:rPr>
                <w:rFonts w:hint="eastAsia" w:ascii="宋体" w:hAnsi="宋体" w:cs="宋体"/>
                <w:color w:val="000000"/>
                <w:sz w:val="20"/>
                <w:szCs w:val="20"/>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D374D">
            <w:pPr>
              <w:jc w:val="center"/>
              <w:rPr>
                <w:rFonts w:hint="eastAsia" w:ascii="宋体" w:hAnsi="宋体" w:cs="宋体"/>
                <w:color w:val="000000"/>
                <w:sz w:val="20"/>
                <w:szCs w:val="20"/>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F5C56">
            <w:pPr>
              <w:jc w:val="center"/>
              <w:rPr>
                <w:rFonts w:hint="eastAsia" w:ascii="宋体" w:hAnsi="宋体" w:cs="宋体"/>
                <w:color w:val="000000"/>
                <w:sz w:val="20"/>
                <w:szCs w:val="20"/>
              </w:rPr>
            </w:pP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64780">
            <w:pPr>
              <w:jc w:val="center"/>
              <w:rPr>
                <w:rFonts w:hint="eastAsia" w:ascii="宋体" w:hAnsi="宋体" w:cs="宋体"/>
                <w:color w:val="000000"/>
                <w:sz w:val="20"/>
                <w:szCs w:val="20"/>
              </w:rPr>
            </w:pPr>
          </w:p>
        </w:tc>
      </w:tr>
    </w:tbl>
    <w:p w14:paraId="39191ED8">
      <w:pPr>
        <w:ind w:firstLine="640" w:firstLineChars="200"/>
        <w:jc w:val="left"/>
        <w:rPr>
          <w:rFonts w:hint="eastAsia" w:ascii="黑体" w:hAnsi="黑体" w:eastAsia="黑体" w:cs="宋体"/>
          <w:bCs/>
          <w:kern w:val="0"/>
          <w:sz w:val="32"/>
          <w:szCs w:val="32"/>
        </w:rPr>
      </w:pPr>
    </w:p>
    <w:p w14:paraId="13C10D3A">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70252BDB">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我单位本年资金紧张未购买办公用品及设备。因此政府采购金额支出为0.00万元。其中授予中小企业合同金额、授予小微企业合同金额为0.00万元。</w:t>
      </w:r>
    </w:p>
    <w:p w14:paraId="5D105CD4">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57C61CF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6652E5E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154BDB5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1A2B5AF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0C4CDFC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7C32151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2860AD0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1FDA1DD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DB77B1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52FA5E8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6A0A1359">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1F952C2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38CBA072">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6D70BCE">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32ECC83C">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40CA7CF0">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3327E68B">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1CC436CB">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2E76CA7C">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1E42CE7E">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03F86A47">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6C11E99A">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063BA18D">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38B14137">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031FAE28">
      <w:pPr>
        <w:ind w:firstLine="640" w:firstLineChars="200"/>
        <w:rPr>
          <w:rFonts w:ascii="仿宋_GB2312" w:eastAsia="仿宋_GB2312"/>
          <w:sz w:val="32"/>
          <w:szCs w:val="32"/>
        </w:rPr>
      </w:pPr>
    </w:p>
    <w:p w14:paraId="7168D978">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F6032">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728D44F">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2728D44F">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DF2C38"/>
    <w:rsid w:val="00156BD7"/>
    <w:rsid w:val="00213C59"/>
    <w:rsid w:val="003210CE"/>
    <w:rsid w:val="003857E9"/>
    <w:rsid w:val="00585145"/>
    <w:rsid w:val="007A5820"/>
    <w:rsid w:val="00970292"/>
    <w:rsid w:val="009A71A0"/>
    <w:rsid w:val="00A53D75"/>
    <w:rsid w:val="00B70D59"/>
    <w:rsid w:val="00BE270A"/>
    <w:rsid w:val="00BF0624"/>
    <w:rsid w:val="00D22B60"/>
    <w:rsid w:val="00D26E41"/>
    <w:rsid w:val="00DF2C38"/>
    <w:rsid w:val="00EC2466"/>
    <w:rsid w:val="00F52A8D"/>
    <w:rsid w:val="00FA2E2F"/>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5F15CD"/>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427EAF"/>
    <w:rsid w:val="398D3668"/>
    <w:rsid w:val="39DA0497"/>
    <w:rsid w:val="3A893816"/>
    <w:rsid w:val="3A893B6D"/>
    <w:rsid w:val="3AD1763A"/>
    <w:rsid w:val="3AE62582"/>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092068"/>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DC64827"/>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EE70B7"/>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autoRedefine/>
    <w:qFormat/>
    <w:uiPriority w:val="0"/>
    <w:pPr>
      <w:jc w:val="left"/>
    </w:pPr>
  </w:style>
  <w:style w:type="paragraph" w:styleId="3">
    <w:name w:val="toc 3"/>
    <w:basedOn w:val="1"/>
    <w:next w:val="1"/>
    <w:autoRedefine/>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autoRedefine/>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4343</Words>
  <Characters>4942</Characters>
  <Lines>58</Lines>
  <Paragraphs>16</Paragraphs>
  <TotalTime>27</TotalTime>
  <ScaleCrop>false</ScaleCrop>
  <LinksUpToDate>false</LinksUpToDate>
  <CharactersWithSpaces>4950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杜里里oppo</cp:lastModifiedBy>
  <dcterms:modified xsi:type="dcterms:W3CDTF">2024-11-12T10:04:49Z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D624B15633CD43C8BF9435464A96BF70</vt:lpwstr>
  </property>
</Properties>
</file>